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 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День пожилого человека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3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6"/>
        <w:gridCol w:w="963"/>
        <w:gridCol w:w="163"/>
        <w:gridCol w:w="797"/>
        <w:gridCol w:w="3"/>
        <w:gridCol w:w="2221"/>
        <w:gridCol w:w="9"/>
        <w:gridCol w:w="4468"/>
        <w:gridCol w:w="9"/>
        <w:gridCol w:w="1786"/>
        <w:gridCol w:w="9"/>
        <w:gridCol w:w="2156"/>
        <w:gridCol w:w="9"/>
        <w:gridCol w:w="2229"/>
      </w:tblGrid>
      <w:tr>
        <w:trPr>
          <w:trHeight w:val="570" w:hRule="atLeast"/>
          <w:cantSplit w:val="true"/>
        </w:trPr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570" w:hRule="atLeast"/>
          <w:cantSplit w:val="true"/>
        </w:trPr>
        <w:tc>
          <w:tcPr>
            <w:tcW w:w="556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2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30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77" w:type="dxa"/>
            <w:gridSpan w:val="2"/>
            <w:vMerge w:val="continue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5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«Давайте вспомним как бывало…»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КВН «Есть еще порох…»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GoBack"/>
            <w:bookmarkEnd w:id="1"/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17:20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«Нам года не беда»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Разведчик,</w:t>
            </w:r>
          </w:p>
          <w:p>
            <w:pPr>
              <w:pStyle w:val="Normal"/>
              <w:rPr/>
            </w:pPr>
            <w:r>
              <w:rPr/>
              <w:t>п. Сосновка-2,</w:t>
            </w:r>
          </w:p>
          <w:p>
            <w:pPr>
              <w:pStyle w:val="Normal"/>
              <w:rPr/>
            </w:pPr>
            <w:r>
              <w:rPr/>
              <w:t>п. Успенка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ко Дню пожилого человека «Была бы молодой душа»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ко Дню пожилого человека «Нам года не беда»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Харыбина О.Н.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 «Бриллиантовая рука»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детских рисунков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Метелёв А.А.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художника Л.Н. Петровой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Метелёв А.А.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  <w:p>
            <w:pPr>
              <w:pStyle w:val="Normal"/>
              <w:rPr/>
            </w:pPr>
            <w:r>
              <w:rPr/>
              <w:t>ДК с. Берёзово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«Наш край»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Метелёв А.А.</w:t>
            </w:r>
          </w:p>
          <w:p>
            <w:pPr>
              <w:pStyle w:val="Normal"/>
              <w:rPr/>
            </w:pPr>
            <w:r>
              <w:rPr/>
              <w:t>Стрижкова Н.Г.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программа, посвящённая Дню пожилого человека «Дорогие мои старики»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программа, посвящённая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программа, посвящённая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19.30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 «Свадьба в Малиновке»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Андреевка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Поселенческая концертно-конкурсная программа «Назад в СССР»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Луща Н.А.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д. Старочервово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Праздничная программа «Нашим дедушкам, нашим бабушкам»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Сухочева С.Э.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  <w:r>
              <w:rPr>
                <w:lang w:val="ru-RU" w:eastAsia="ru-RU" w:bidi="ar-SA"/>
              </w:rPr>
              <w:t>5</w:t>
            </w:r>
            <w:r>
              <w:rPr>
                <w:lang w:val="ru-RU" w:eastAsia="ru-RU" w:bidi="ar-SA"/>
              </w:rPr>
              <w:t>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Музыкальный вечер «Праздник чая»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Василенко А.В.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СИК д. Тебеньковка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Развлекательная программа «Нам года не беда»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Силино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Встреча за круглым столом «Красоте все возрасты покорны»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Пожилые,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Вечер-встреча «Как молоды мы были!», посвященная Международному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" w:name="__DdeLink__21039_1814159325"/>
            <w:bookmarkEnd w:id="2"/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bookmarkStart w:id="3" w:name="__DdeLink__44828_510291945"/>
            <w:bookmarkEnd w:id="3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«Спешите делать добрые дела» изготовление праздничных открыток.</w:t>
            </w:r>
          </w:p>
          <w:p>
            <w:pPr>
              <w:pStyle w:val="Normal"/>
              <w:rPr/>
            </w:pPr>
            <w:r>
              <w:rPr/>
              <w:t>Поздравление на дому тружеников тыла, ветеранов труда и пожилых людей с Международным Днем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 - развлекательная программа «С днём мудрости!», посвященная Международному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Показ художественного фильма «Бриллиантовая рука»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Гулевич Т.И.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МБУ «ДК Звездное поселение Кемеровского муниципального района»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социальной направленности «Рука помощи»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Показ художественного фильма «Кубанские казаки»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Меренкова М.В.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bookmarkStart w:id="4" w:name="__DdeLink__40545_510291945"/>
            <w:bookmarkEnd w:id="4"/>
            <w:r>
              <w:rPr>
                <w:lang w:eastAsia="en-US"/>
              </w:rPr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Наш парк,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«Золотой возраст»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Меренкова М.В.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Патриотическое,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bookmarkStart w:id="5" w:name="_GoBack11"/>
            <w:bookmarkEnd w:id="5"/>
            <w:r>
              <w:rPr>
                <w:lang w:eastAsia="en-US"/>
              </w:rPr>
              <w:t xml:space="preserve">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ДПИ «Наши умельцы»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с. Верхотомское 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«Посидим по хорошему»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 Щегловский 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«Нам года не беда»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 Щегловский 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Показ художественного фильма «Свадьба в Малиновке»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«Льются песни крылатые»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течение месяца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МБУ «ДК Щегловское поселение Кемеровского муниципального района»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ветеранам и адресные поздравления юбиляров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«Мы молоды душой»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bookmarkStart w:id="6" w:name="__DdeLink__28836_510291945"/>
            <w:bookmarkEnd w:id="6"/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Показ художественного фильма «Любовь и голуби»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 улыбкой по жизни!»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«Свадьба в Малиновке»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ДПИ «Мастерица»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 улыбкой по жизни!»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встреч «Под тихий шелест листопада»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Чайный стол «Печки-лавочки»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7" w:name="__DdeLink__40553_510291945"/>
            <w:bookmarkEnd w:id="7"/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«Свадьба в Малиновке»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Выставка рисунков «Мудрой осени счастливые мгновенья»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0+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Эберт В.Н.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Фотовернисаж «Сердцем и душою вечно не стареть»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Шелковникова Н.Н.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Березово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«Пусть осень жизни будет золотой»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Петухова Л.Б.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Елыкаево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«Вместе с бабушкой моей…», посвященная Дню уважения старшего поколения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Попова А.С.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Елыкаево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Книжная выставка «Возраст золотой – какое чудо!», посвященная Дню уважения старшего поколения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Бабаджанова С.В.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Выставка - обзор «Нам года - не беда» 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Щегловский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Тематическая полка «Пусть осень будет золотой», посвященная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Яркова Т.М.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д. Мозжуха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Тематическая полка «Как привлечь здоровье» 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Взрослые, 18+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Рулева А.М.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ДК, библиотека</w:t>
            </w:r>
          </w:p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Праздничная программа «До ста лет без старости»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Все категории, 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8"/>
              <w:shd w:fill="FFFFFF" w:val="clear"/>
              <w:spacing w:before="0" w:after="0"/>
              <w:rPr/>
            </w:pPr>
            <w:r>
              <w:rPr/>
              <w:t xml:space="preserve">Праздничная программа «Главное - мы молоды душой» 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«Удивительный возраст осени», посвящённая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Все категории,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01.10.15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экологии, этнографии и экологии КемГУ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экскурсии для ветеранов КемГУ, Кемеровского района и Ленинского района г. Кемерово.</w:t>
            </w:r>
          </w:p>
          <w:p>
            <w:pPr>
              <w:pStyle w:val="Normal"/>
              <w:rPr/>
            </w:pPr>
            <w:r>
              <w:rPr/>
              <w:t>Показ фотопрезентации о жизни ветеранов КемГУ и Кемеровского района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Павленок М.О.</w:t>
            </w:r>
          </w:p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25.09.15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Металлплощадка,</w:t>
            </w:r>
          </w:p>
          <w:p>
            <w:pPr>
              <w:pStyle w:val="Normal"/>
              <w:rPr/>
            </w:pPr>
            <w:r>
              <w:rPr/>
              <w:t>стадион «Суховский»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Спартакиада «Бодрость и здровье среди ветеранов имени Безносова Владимира Яковлевича»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1-й квартал Октября</w:t>
            </w:r>
          </w:p>
        </w:tc>
        <w:tc>
          <w:tcPr>
            <w:tcW w:w="7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Поселения Кемеровского муниципального района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Спортивные мероприятия, приуроченные ко Дню пожилого человека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12+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2015-09-17T17:41:33Z</cp:lastPrinted>
  <dcterms:modified xsi:type="dcterms:W3CDTF">2015-06-18T08:57:00Z</dcterms:modified>
  <cp:revision>3</cp:revision>
</cp:coreProperties>
</file>