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Международный день борьбы с наркоманией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8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7"/>
        <w:gridCol w:w="1082"/>
        <w:gridCol w:w="723"/>
        <w:gridCol w:w="2195"/>
        <w:gridCol w:w="5516"/>
        <w:gridCol w:w="1679"/>
        <w:gridCol w:w="1978"/>
        <w:gridCol w:w="2244"/>
      </w:tblGrid>
      <w:tr>
        <w:trPr>
          <w:trHeight w:val="557" w:hRule="atLeast"/>
          <w:cantSplit w:val="true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Вре-мя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55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программа «Здоровье – это жизнь»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GoBack"/>
            <w:bookmarkEnd w:id="1"/>
            <w:r>
              <w:rPr/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«Прятки со смертью»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молодежь, 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Познавательное, </w:t>
            </w:r>
            <w:r>
              <w:rPr/>
              <w:t>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«Скажи наркотикам нет!». Беседа, конкурс рисунков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ЗОЖ</w:t>
            </w:r>
          </w:p>
        </w:tc>
      </w:tr>
      <w:tr>
        <w:trPr>
          <w:trHeight w:val="363" w:hRule="atLeast"/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«Скажи наркотикам нет!». Беседа, конкурс рисунков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ЗОЖ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</w:t>
            </w:r>
            <w:r>
              <w:rPr/>
              <w:t xml:space="preserve">К </w:t>
            </w:r>
            <w:r>
              <w:rPr/>
              <w:t>д. Сухая речка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«Скажи наркотикам нет!». Беседа, конкурс рисунков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«Живи правильно»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Спортивное соревнование «Тебеньковская олимпиада»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«Твой выбор», посвященная Международному дню борьбы против злоупотребления наркотиками и незаконного его оборота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ЗОЖ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«Мы против»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Хайдарова З.А.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ЗОЖ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Спортивная игра «Спорт против наркотиков»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13:00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 xml:space="preserve">Профилактическая беседа «Жизнь всего одна - проживи её достойно!» 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Все категории,  6 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Петровский П.П.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jc w:val="center"/>
              <w:rPr/>
            </w:pPr>
            <w:r>
              <w:rPr/>
              <w:t xml:space="preserve">25.06.16 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13:00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социального фильма «Каждый рассвет, он единственный» с последующим обсуждением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Все категории, 0 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Голубин В.В.</w:t>
            </w:r>
          </w:p>
          <w:p>
            <w:pPr>
              <w:pStyle w:val="Normal"/>
              <w:spacing w:lineRule="auto"/>
              <w:rPr/>
            </w:pPr>
            <w:r>
              <w:rPr/>
              <w:t>Деменёва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before="0" w:after="200"/>
              <w:rPr/>
            </w:pPr>
            <w:r>
              <w:rPr/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jc w:val="center"/>
              <w:rPr/>
            </w:pPr>
            <w:r>
              <w:rPr/>
              <w:t xml:space="preserve">25.06.16   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>
                <w:i/>
              </w:rPr>
            </w:pPr>
            <w:r>
              <w:rPr/>
              <w:t>13:00</w:t>
            </w:r>
            <w:r>
              <w:rPr>
                <w:i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рисунков на асфальте «Мы за счастливое будущее» 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Все категории, 0+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Тимофеева С.С.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Барановка,</w:t>
            </w:r>
          </w:p>
          <w:p>
            <w:pPr>
              <w:pStyle w:val="Normal"/>
              <w:jc w:val="left"/>
              <w:rPr/>
            </w:pPr>
            <w:r>
              <w:rPr/>
              <w:t>ДК с.Верхотомское,</w:t>
            </w:r>
          </w:p>
          <w:p>
            <w:pPr>
              <w:pStyle w:val="Normal"/>
              <w:jc w:val="left"/>
              <w:rPr/>
            </w:pPr>
            <w:r>
              <w:rPr/>
              <w:t>ДК п. Щеглов</w:t>
            </w:r>
            <w:r>
              <w:rPr/>
              <w:t>с</w:t>
            </w:r>
            <w:r>
              <w:rPr/>
              <w:t>к</w:t>
            </w:r>
            <w:r>
              <w:rPr/>
              <w:t>ий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Акция «Наркостоп», вручение памяток 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 Бородина А.В.</w:t>
            </w:r>
          </w:p>
          <w:p>
            <w:pPr>
              <w:pStyle w:val="Normal"/>
              <w:jc w:val="left"/>
              <w:rPr/>
            </w:pPr>
            <w:r>
              <w:rPr/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Ягуново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Киноурок «Территория безопасности», посвящённый профилактике наркомании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Т.Е.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«Остановить беду» (Международный День борьбы с нарко</w:t>
            </w:r>
            <w:r>
              <w:rPr>
                <w:sz w:val="24"/>
                <w:szCs w:val="24"/>
              </w:rPr>
              <w:t>манией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молодежь, 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«Остановить беду» (Международный День борьбы с нарко</w:t>
            </w:r>
            <w:r>
              <w:rPr>
                <w:sz w:val="24"/>
                <w:szCs w:val="24"/>
              </w:rPr>
              <w:t>манией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молодежь, 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«Остановить беду» (Международный День борьбы с нарко</w:t>
            </w:r>
            <w:r>
              <w:rPr>
                <w:sz w:val="24"/>
                <w:szCs w:val="24"/>
              </w:rPr>
              <w:t>манией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молодежь, 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23.06.16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Кузбасский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Тематическая полка «Скажи жизни «Да!»»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 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Малышева А.П.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23.06.16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Камышная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Информационный стенд «В счастливой жизни нет места наркотикам»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Макеева А.Н.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-720" w:right="0" w:firstLine="720"/>
              <w:rPr/>
            </w:pPr>
            <w:r>
              <w:rPr/>
              <w:t>24.06.16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Информационный стенд «Жизнь прекрасна. Не губите ее»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Шелковникова 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24.06.16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Урок – предупреждение «Любопытство ценою в жизнь»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п.Ясногорский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«Жизнь прекрасна, когда у нее есть будущее»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25.06.16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Тематическая беседа «Доза малая - беда большая» 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Шульц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54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д. Мозжуха, стадион 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Тематическая беседа «Я выбираю жизнь!», посвященная Международному Дню борьбы с наркотическими средствами и их незаконным оборотом (в рамках акции «Спорт вместо наркотиков»)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/>
            </w:pPr>
            <w:r>
              <w:rPr/>
              <w:t>Дети, подростки, 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Грицевич Г.П.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26.06.16</w:t>
            </w:r>
          </w:p>
        </w:tc>
        <w:tc>
          <w:tcPr>
            <w:tcW w:w="7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16:00</w:t>
            </w:r>
          </w:p>
        </w:tc>
        <w:tc>
          <w:tcPr>
            <w:tcW w:w="21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/>
            </w:pPr>
            <w:r>
              <w:rPr/>
              <w:t>п. Металлплощадка, стадион «Суховский»</w:t>
            </w:r>
          </w:p>
        </w:tc>
        <w:tc>
          <w:tcPr>
            <w:tcW w:w="55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Тематическая беседа «Я выбираю жизнь!», посвященная Международному Дню борьбы с наркотическими средствами и их незаконным оборотом (в рамках акции «Спорт вместо наркотиков»)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12+</w:t>
            </w:r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Грицевич Г.П.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Профилактическое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character" w:styleId="ListLabel121">
    <w:name w:val="ListLabel 121"/>
    <w:rPr>
      <w:sz w:val="24"/>
      <w:szCs w:val="24"/>
    </w:rPr>
  </w:style>
  <w:style w:type="character" w:styleId="ListLabel122">
    <w:name w:val="ListLabel 122"/>
    <w:rPr>
      <w:sz w:val="24"/>
      <w:szCs w:val="24"/>
    </w:rPr>
  </w:style>
  <w:style w:type="character" w:styleId="ListLabel123">
    <w:name w:val="ListLabel 123"/>
    <w:rPr>
      <w:sz w:val="24"/>
      <w:szCs w:val="24"/>
    </w:rPr>
  </w:style>
  <w:style w:type="character" w:styleId="ListLabel124">
    <w:name w:val="ListLabel 124"/>
    <w:rPr>
      <w:sz w:val="24"/>
      <w:szCs w:val="24"/>
    </w:rPr>
  </w:style>
  <w:style w:type="character" w:styleId="ListLabel125">
    <w:name w:val="ListLabel 125"/>
    <w:rPr>
      <w:sz w:val="24"/>
      <w:szCs w:val="24"/>
    </w:rPr>
  </w:style>
  <w:style w:type="character" w:styleId="ListLabel126">
    <w:name w:val="ListLabel 126"/>
    <w:rPr>
      <w:sz w:val="24"/>
      <w:szCs w:val="24"/>
    </w:rPr>
  </w:style>
  <w:style w:type="character" w:styleId="ListLabel127">
    <w:name w:val="ListLabel 127"/>
    <w:rPr>
      <w:sz w:val="24"/>
      <w:szCs w:val="24"/>
    </w:rPr>
  </w:style>
  <w:style w:type="character" w:styleId="ListLabel128">
    <w:name w:val="ListLabel 128"/>
    <w:rPr>
      <w:sz w:val="24"/>
      <w:szCs w:val="24"/>
    </w:rPr>
  </w:style>
  <w:style w:type="character" w:styleId="ListLabel129">
    <w:name w:val="ListLabel 129"/>
    <w:rPr>
      <w:sz w:val="24"/>
      <w:szCs w:val="24"/>
    </w:rPr>
  </w:style>
  <w:style w:type="character" w:styleId="ListLabel130">
    <w:name w:val="ListLabel 130"/>
    <w:rPr>
      <w:sz w:val="24"/>
      <w:szCs w:val="24"/>
    </w:rPr>
  </w:style>
  <w:style w:type="character" w:styleId="ListLabel131">
    <w:name w:val="ListLabel 131"/>
    <w:rPr>
      <w:sz w:val="24"/>
      <w:szCs w:val="24"/>
    </w:rPr>
  </w:style>
  <w:style w:type="character" w:styleId="ListLabel132">
    <w:name w:val="ListLabel 132"/>
    <w:rPr>
      <w:sz w:val="24"/>
      <w:szCs w:val="24"/>
    </w:rPr>
  </w:style>
  <w:style w:type="character" w:styleId="ListLabel133">
    <w:name w:val="ListLabel 133"/>
    <w:rPr>
      <w:sz w:val="24"/>
      <w:szCs w:val="24"/>
    </w:rPr>
  </w:style>
  <w:style w:type="character" w:styleId="ListLabel134">
    <w:name w:val="ListLabel 134"/>
    <w:rPr>
      <w:sz w:val="24"/>
      <w:szCs w:val="24"/>
    </w:rPr>
  </w:style>
  <w:style w:type="character" w:styleId="ListLabel135">
    <w:name w:val="ListLabel 135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2016-06-22T17:30:55Z</cp:lastPrinted>
  <dcterms:modified xsi:type="dcterms:W3CDTF">2016-04-25T11:11:38Z</dcterms:modified>
  <cp:revision>3</cp:revision>
</cp:coreProperties>
</file>