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  <w:t>Приложение</w:t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/>
      </w:pPr>
      <w:r>
        <w:rPr/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Новогодние утренники и представления в учреждениях культуры</w:t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Кемеровского муниципального района в декабре 2015г.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33"/>
        <w:gridCol w:w="838"/>
        <w:gridCol w:w="2100"/>
        <w:gridCol w:w="4198"/>
        <w:gridCol w:w="1921"/>
      </w:tblGrid>
      <w:tr>
        <w:trPr>
          <w:trHeight w:val="557" w:hRule="atLeast"/>
          <w:cantSplit w:val="true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19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Приглашаются</w:t>
            </w:r>
          </w:p>
        </w:tc>
      </w:tr>
      <w:tr>
        <w:trPr>
          <w:trHeight w:val="557" w:hRule="atLeast"/>
          <w:cantSplit w:val="tru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25.12.15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Детская игровая танцевальная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«Снежная карусель»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«Чудеса под Новый год!»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 «Предновогодние посиделки»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>18</w:t>
            </w:r>
            <w:r>
              <w:rPr/>
              <w:t>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«Новогодняя кутерьма»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 «С Новым годом!»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 «Елочка волшебница»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Танцевальная – развлекательная программа «Новогодний хоровод»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«Новогодняя ночь»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31.12.15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Бал – маскарад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«У пушистой ёлки»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 xml:space="preserve">Новогодняя дискотека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«В гостях у Снегурочки»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для детей «Здравствуй Дедушка Мороз»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гостях у сказки «Морозко». Мюзикл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Web"/>
              <w:spacing w:lineRule="atLeast" w:line="315"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Web"/>
              <w:spacing w:lineRule="atLeast" w:line="315" w:before="0" w:after="0"/>
              <w:rPr>
                <w:color w:val="000000"/>
              </w:rPr>
            </w:pPr>
            <w:r>
              <w:rPr/>
              <w:t xml:space="preserve">Детская новогодняя ёлка </w:t>
            </w:r>
            <w:r>
              <w:rPr>
                <w:color w:val="000000"/>
              </w:rPr>
              <w:t xml:space="preserve">«Конфетная страна»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новогодняя дискотека «Новогодняя шуточка»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«Здравствуй, Новый год!»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«Новогодние забавы»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«Праздник к нам приходит»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Детское новогоднее представление «Здравствуй праздник новогодний!»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праздничная программа «Говорят под Новый год…»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«Чудеса под Новый год»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утренник «В гостях у Деда Мороза»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праздничная программа «Каждый год - Новый год»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«Новогодний серпантин»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утренник «Подарки для елки»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вечер отдыха «Как-то раз под Новый год»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Театрализованная игровая сказка для молодёжи «Очень новый год»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Семейная аудитория, 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«Новогодние ритмы»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11:00.</w:t>
            </w:r>
          </w:p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«Сказочная встреча Деда Мороза и Нового года»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«Новогоднее приключение в сказочном лесу»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«Разноцветные огни ёлки»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утренник «Дед Мороз разбушевался»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</w:t>
            </w:r>
            <w:r>
              <w:rPr/>
              <w:t>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Новогодняя Ёлка Главы района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«Новый год в кругу друзей»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Новогоднее представление «Новый год к нам мчится»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«Новый год  – новые мечты»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«Веселый Новый год»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«В гостях у сказки» (к Году литературы)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у ёлки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«Новый год к нам мчится»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«Кабы не было зимы!»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>
              <w:rPr>
                <w:bCs/>
                <w:sz w:val="24"/>
                <w:szCs w:val="24"/>
              </w:rPr>
              <w:t>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«В гостях у сказки»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«На пороге Новый год»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пожилых «Снежинки на ресницах таяли»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 для взрослых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50 лет Дому культуры с . Верхотомское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программа «Новогодняя карусель» 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дискотека «Новогодний серпантин»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</w:tr>
      <w:tr>
        <w:trPr>
          <w:cantSplit w:val="false"/>
        </w:trPr>
        <w:tc>
          <w:tcPr>
            <w:tcW w:w="1009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</w:t>
            </w:r>
          </w:p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п.Я сногорский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27.12.15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Новогоднее представление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«В гостях у обезьяны»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праздник «Новый год стучится в двери»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«Незнайка и Дед Мороз»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</w:tr>
      <w:tr>
        <w:trPr>
          <w:cantSplit w:val="false"/>
        </w:trPr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1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/>
              <w:t xml:space="preserve">Новогодний праздник </w:t>
            </w:r>
            <w:r>
              <w:rPr>
                <w:lang w:eastAsia="en-US"/>
              </w:rPr>
              <w:t>« Новогоднее приключения»</w:t>
            </w:r>
          </w:p>
        </w:tc>
        <w:tc>
          <w:tcPr>
            <w:tcW w:w="19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Дети,6+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Arial" w:hAnsi="Arial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1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2015-12-09T17:27:26Z</cp:lastPrinted>
  <dcterms:modified xsi:type="dcterms:W3CDTF">2015-10-23T11:21:35Z</dcterms:modified>
  <cp:revision>3</cp:revision>
</cp:coreProperties>
</file>